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71D264" w14:textId="041299D5" w:rsidR="00D37540" w:rsidRPr="00D37540" w:rsidRDefault="00D37540" w:rsidP="00D37540">
      <w:pPr>
        <w:jc w:val="both"/>
        <w:rPr>
          <w:bCs/>
        </w:rPr>
      </w:pPr>
      <w:bookmarkStart w:id="0" w:name="_GoBack"/>
      <w:bookmarkEnd w:id="0"/>
      <w:r w:rsidRPr="00D37540">
        <w:rPr>
          <w:bCs/>
        </w:rPr>
        <w:t>København, den 9. december 2020</w:t>
      </w:r>
    </w:p>
    <w:p w14:paraId="302975ED" w14:textId="77777777" w:rsidR="00D37540" w:rsidRDefault="00D37540" w:rsidP="00D37540">
      <w:pPr>
        <w:jc w:val="both"/>
        <w:rPr>
          <w:b/>
          <w:bCs/>
        </w:rPr>
      </w:pPr>
    </w:p>
    <w:p w14:paraId="35F549FD" w14:textId="58A43F9E" w:rsidR="00F50165" w:rsidRPr="00D37540" w:rsidRDefault="00F50165" w:rsidP="00D37540">
      <w:pPr>
        <w:jc w:val="both"/>
        <w:rPr>
          <w:b/>
          <w:bCs/>
          <w:sz w:val="24"/>
          <w:szCs w:val="24"/>
        </w:rPr>
      </w:pPr>
      <w:r w:rsidRPr="00D37540">
        <w:rPr>
          <w:b/>
          <w:bCs/>
          <w:sz w:val="24"/>
          <w:szCs w:val="24"/>
        </w:rPr>
        <w:t>Til Erhvervsministeriet</w:t>
      </w:r>
    </w:p>
    <w:p w14:paraId="5BD2F976" w14:textId="77777777" w:rsidR="00F50165" w:rsidRPr="00D37540" w:rsidRDefault="00F50165" w:rsidP="00D37540">
      <w:pPr>
        <w:jc w:val="both"/>
        <w:rPr>
          <w:sz w:val="24"/>
          <w:szCs w:val="24"/>
        </w:rPr>
      </w:pPr>
      <w:r w:rsidRPr="00D37540">
        <w:rPr>
          <w:b/>
          <w:bCs/>
          <w:sz w:val="24"/>
          <w:szCs w:val="24"/>
        </w:rPr>
        <w:t>Angående:</w:t>
      </w:r>
      <w:r w:rsidRPr="00D37540">
        <w:rPr>
          <w:sz w:val="24"/>
          <w:szCs w:val="24"/>
        </w:rPr>
        <w:t xml:space="preserve"> Offentlig høring om god selskabsledelse og due diligence, med frist: 9. december, 2020. </w:t>
      </w:r>
    </w:p>
    <w:p w14:paraId="28580DAC" w14:textId="60AF5811" w:rsidR="00DF536F" w:rsidRPr="00D37540" w:rsidRDefault="00F50165" w:rsidP="00D37540">
      <w:pPr>
        <w:jc w:val="both"/>
        <w:rPr>
          <w:sz w:val="24"/>
          <w:szCs w:val="24"/>
        </w:rPr>
      </w:pPr>
      <w:r w:rsidRPr="00D37540">
        <w:rPr>
          <w:b/>
          <w:bCs/>
          <w:sz w:val="24"/>
          <w:szCs w:val="24"/>
          <w:u w:val="single"/>
        </w:rPr>
        <w:t>Høringssvar fra 92-gruppen</w:t>
      </w:r>
      <w:r w:rsidRPr="00D37540">
        <w:rPr>
          <w:sz w:val="24"/>
          <w:szCs w:val="24"/>
        </w:rPr>
        <w:t xml:space="preserve"> angående høring om god selskabsledelse og due diligence</w:t>
      </w:r>
    </w:p>
    <w:p w14:paraId="613386B6" w14:textId="77777777" w:rsidR="00D37540" w:rsidRDefault="00D37540" w:rsidP="00D37540">
      <w:pPr>
        <w:jc w:val="both"/>
        <w:rPr>
          <w:b/>
          <w:bCs/>
          <w:u w:val="single"/>
        </w:rPr>
      </w:pPr>
    </w:p>
    <w:p w14:paraId="41D25F37" w14:textId="419DE3A8" w:rsidR="00F50165" w:rsidRDefault="00CC0D74" w:rsidP="00D37540">
      <w:pPr>
        <w:jc w:val="both"/>
        <w:rPr>
          <w:b/>
          <w:bCs/>
          <w:u w:val="single"/>
        </w:rPr>
      </w:pPr>
      <w:r w:rsidRPr="00CC0D74">
        <w:rPr>
          <w:b/>
          <w:bCs/>
          <w:u w:val="single"/>
        </w:rPr>
        <w:t>Fokus og struktur i vores høringssvar:</w:t>
      </w:r>
      <w:r>
        <w:rPr>
          <w:b/>
          <w:bCs/>
          <w:u w:val="single"/>
        </w:rPr>
        <w:t xml:space="preserve"> </w:t>
      </w:r>
    </w:p>
    <w:p w14:paraId="7B275049" w14:textId="62B70377" w:rsidR="0025475D" w:rsidRDefault="00D37540" w:rsidP="00D37540">
      <w:pPr>
        <w:jc w:val="both"/>
      </w:pPr>
      <w:r>
        <w:t xml:space="preserve">I dette </w:t>
      </w:r>
      <w:r w:rsidR="00CC0D74">
        <w:t xml:space="preserve">høringssvar </w:t>
      </w:r>
      <w:r>
        <w:t xml:space="preserve">fokuserer vi på </w:t>
      </w:r>
      <w:r w:rsidR="00CC0D74">
        <w:t xml:space="preserve">hvilke elementer i EU-lovgivning om god selskabsledelse og due diligence, som vi fra 92-gruppens side </w:t>
      </w:r>
      <w:r>
        <w:t xml:space="preserve">finder </w:t>
      </w:r>
      <w:r w:rsidR="00CC0D74">
        <w:t>særlig</w:t>
      </w:r>
      <w:r w:rsidR="00614229">
        <w:t>t</w:t>
      </w:r>
      <w:r w:rsidR="00CC0D74">
        <w:t xml:space="preserve"> vigtige.</w:t>
      </w:r>
    </w:p>
    <w:p w14:paraId="01B858C1" w14:textId="5DC86F10" w:rsidR="00636BC4" w:rsidRDefault="00CC0D74" w:rsidP="00D37540">
      <w:pPr>
        <w:jc w:val="both"/>
      </w:pPr>
      <w:r>
        <w:t xml:space="preserve">Vi vedlægger </w:t>
      </w:r>
      <w:r w:rsidR="00D37540">
        <w:t xml:space="preserve">desuden </w:t>
      </w:r>
      <w:r>
        <w:t>spørgeskemaet fra EU-Kommissionen</w:t>
      </w:r>
      <w:r w:rsidR="00636BC4">
        <w:t>,</w:t>
      </w:r>
      <w:r>
        <w:t xml:space="preserve"> som vi har </w:t>
      </w:r>
      <w:r w:rsidR="00D37540">
        <w:t>udfyldt</w:t>
      </w:r>
      <w:r>
        <w:t xml:space="preserve">. </w:t>
      </w:r>
      <w:r w:rsidR="00D37540">
        <w:t>Fristen</w:t>
      </w:r>
      <w:r>
        <w:t xml:space="preserve"> for svar til EU-Kommissionen</w:t>
      </w:r>
      <w:r w:rsidR="00D37540">
        <w:t xml:space="preserve"> er dog</w:t>
      </w:r>
      <w:r>
        <w:t xml:space="preserve"> først er den 8</w:t>
      </w:r>
      <w:r w:rsidR="00843545">
        <w:t>.</w:t>
      </w:r>
      <w:r>
        <w:t xml:space="preserve"> februar</w:t>
      </w:r>
      <w:r w:rsidR="00D37540">
        <w:t xml:space="preserve"> 2021 og </w:t>
      </w:r>
      <w:r w:rsidR="00843545">
        <w:t xml:space="preserve">vores svar i spørgeskemaet </w:t>
      </w:r>
      <w:r w:rsidR="00A86D7E">
        <w:t xml:space="preserve">skal </w:t>
      </w:r>
      <w:r w:rsidR="00D37540">
        <w:t xml:space="preserve">derfor </w:t>
      </w:r>
      <w:r w:rsidR="00636BC4">
        <w:t xml:space="preserve">ses som </w:t>
      </w:r>
      <w:r w:rsidR="00843545">
        <w:t xml:space="preserve">foreløbige. </w:t>
      </w:r>
    </w:p>
    <w:p w14:paraId="6D76AE43" w14:textId="500F09EE" w:rsidR="00186D24" w:rsidRDefault="0025475D" w:rsidP="00D37540">
      <w:pPr>
        <w:jc w:val="both"/>
      </w:pPr>
      <w:r>
        <w:t>T</w:t>
      </w:r>
      <w:r w:rsidR="00641D99">
        <w:t xml:space="preserve">il orientering </w:t>
      </w:r>
      <w:r>
        <w:t xml:space="preserve">vedlægger vi et </w:t>
      </w:r>
      <w:r w:rsidR="00186D24">
        <w:t xml:space="preserve">link til </w:t>
      </w:r>
      <w:r w:rsidR="00641D99">
        <w:t>en række internationale NGO</w:t>
      </w:r>
      <w:r w:rsidR="00D37540">
        <w:t>’</w:t>
      </w:r>
      <w:r w:rsidR="00641D99">
        <w:t xml:space="preserve">ers positionspapir </w:t>
      </w:r>
      <w:r w:rsidR="00614229">
        <w:t xml:space="preserve">med hensyn til </w:t>
      </w:r>
      <w:r w:rsidR="00641D99">
        <w:t>lovpligtig due diligence på EU-niveau</w:t>
      </w:r>
      <w:r w:rsidR="003A1A1D">
        <w:t xml:space="preserve">, </w:t>
      </w:r>
      <w:r w:rsidR="00614229">
        <w:t xml:space="preserve">et positionspapir </w:t>
      </w:r>
      <w:r w:rsidR="003A1A1D">
        <w:t>som vi støtter via vores/92-gruppens medlemskab af ECCJ – European Coalition for Corporate Justic</w:t>
      </w:r>
      <w:r w:rsidR="00614229">
        <w:t>e</w:t>
      </w:r>
      <w:r w:rsidR="00186D24">
        <w:t>:</w:t>
      </w:r>
      <w:r>
        <w:t xml:space="preserve"> </w:t>
      </w:r>
      <w:r w:rsidR="00186D24" w:rsidRPr="00186D24">
        <w:t>https://corporatejustice.org/principal-elements-of-an-eu-mhredd-legislation.pdf</w:t>
      </w:r>
    </w:p>
    <w:p w14:paraId="4405D310" w14:textId="77777777" w:rsidR="00D37540" w:rsidRDefault="00D37540" w:rsidP="00D37540">
      <w:pPr>
        <w:jc w:val="both"/>
        <w:rPr>
          <w:b/>
          <w:bCs/>
          <w:u w:val="single"/>
        </w:rPr>
      </w:pPr>
    </w:p>
    <w:p w14:paraId="79760042" w14:textId="10C3D66D" w:rsidR="00AD4E4A" w:rsidRDefault="00636BC4" w:rsidP="00D37540">
      <w:pPr>
        <w:jc w:val="both"/>
        <w:rPr>
          <w:b/>
          <w:bCs/>
          <w:u w:val="single"/>
        </w:rPr>
      </w:pPr>
      <w:r>
        <w:rPr>
          <w:b/>
          <w:bCs/>
          <w:u w:val="single"/>
        </w:rPr>
        <w:t>Anbefalinger til regeringen:</w:t>
      </w:r>
    </w:p>
    <w:p w14:paraId="51C90291" w14:textId="6D43277D" w:rsidR="00AD4E4A" w:rsidRPr="00AD4E4A" w:rsidRDefault="00AD4E4A" w:rsidP="00D37540">
      <w:pPr>
        <w:pStyle w:val="Listeafsnit"/>
        <w:numPr>
          <w:ilvl w:val="0"/>
          <w:numId w:val="1"/>
        </w:numPr>
        <w:jc w:val="both"/>
        <w:rPr>
          <w:b/>
          <w:bCs/>
          <w:u w:val="single"/>
        </w:rPr>
      </w:pPr>
      <w:r>
        <w:t xml:space="preserve">EU-Kommissionen lægger op til at </w:t>
      </w:r>
      <w:r w:rsidR="006B3C02">
        <w:t xml:space="preserve">kombinere </w:t>
      </w:r>
      <w:r>
        <w:t xml:space="preserve">god selskabsledelse og due diligence. </w:t>
      </w:r>
      <w:r w:rsidR="006B3C02">
        <w:t xml:space="preserve">Vi støtter EU-Kommissionens fokus på begge dele, men </w:t>
      </w:r>
      <w:r w:rsidR="0025475D">
        <w:t>er bekymrede for, at det vil kunne betyde en forringelse af kravene til due diligence</w:t>
      </w:r>
      <w:r w:rsidR="006B3C02">
        <w:t xml:space="preserve">. </w:t>
      </w:r>
      <w:r w:rsidR="00252B48">
        <w:t xml:space="preserve">Kommer </w:t>
      </w:r>
      <w:r w:rsidR="006B3C02">
        <w:t xml:space="preserve">due diligence </w:t>
      </w:r>
      <w:r w:rsidR="0025475D">
        <w:t xml:space="preserve">for eksempel </w:t>
      </w:r>
      <w:r w:rsidR="006B3C02">
        <w:t xml:space="preserve">til </w:t>
      </w:r>
      <w:r w:rsidR="0025475D">
        <w:rPr>
          <w:i/>
        </w:rPr>
        <w:t>udelukkende</w:t>
      </w:r>
      <w:r w:rsidR="006B3C02">
        <w:t xml:space="preserve"> at indgå som del af god selskabsledelse</w:t>
      </w:r>
      <w:r w:rsidR="0025475D">
        <w:t>,</w:t>
      </w:r>
      <w:r>
        <w:t xml:space="preserve"> vil </w:t>
      </w:r>
      <w:r w:rsidR="006B3C02">
        <w:t>dette ske på bekostning af (resten af) virksomheden og virksomhedsledelsens ansvar. Det kan også komme til at betyde</w:t>
      </w:r>
      <w:r w:rsidR="00252B48">
        <w:t>,</w:t>
      </w:r>
      <w:r w:rsidR="006B3C02">
        <w:t xml:space="preserve"> at det kun er virksomhedens aktionærer</w:t>
      </w:r>
      <w:r w:rsidR="00252B48">
        <w:t>,</w:t>
      </w:r>
      <w:r w:rsidR="006B3C02">
        <w:t xml:space="preserve"> der skal føre ti</w:t>
      </w:r>
      <w:r>
        <w:t xml:space="preserve">lsyn med arbejdet. Dette vil være </w:t>
      </w:r>
      <w:r w:rsidR="006B3C02">
        <w:t>meget imod</w:t>
      </w:r>
      <w:r>
        <w:t xml:space="preserve">, hvad FNs og OECDs retningslinjer </w:t>
      </w:r>
      <w:r w:rsidR="0032720E">
        <w:t xml:space="preserve">med hensyn til udøvelse af due diligence </w:t>
      </w:r>
      <w:r>
        <w:t xml:space="preserve">lægger op til. </w:t>
      </w:r>
      <w:r w:rsidR="0032720E">
        <w:t xml:space="preserve">Vi </w:t>
      </w:r>
      <w:r w:rsidR="0025475D">
        <w:t>ser</w:t>
      </w:r>
      <w:r w:rsidR="0032720E">
        <w:t xml:space="preserve"> </w:t>
      </w:r>
      <w:r>
        <w:t>positivt</w:t>
      </w:r>
      <w:r w:rsidR="0025475D">
        <w:t xml:space="preserve"> på</w:t>
      </w:r>
      <w:r w:rsidR="0032720E">
        <w:t>,</w:t>
      </w:r>
      <w:r>
        <w:t xml:space="preserve"> at der </w:t>
      </w:r>
      <w:r w:rsidRPr="005B3130">
        <w:rPr>
          <w:i/>
        </w:rPr>
        <w:t>også</w:t>
      </w:r>
      <w:r>
        <w:t xml:space="preserve"> pålægges bestyrelsen et ansvar</w:t>
      </w:r>
      <w:r w:rsidR="0032720E">
        <w:t>,</w:t>
      </w:r>
      <w:r>
        <w:t xml:space="preserve"> men det</w:t>
      </w:r>
      <w:r w:rsidR="0025475D">
        <w:t>te</w:t>
      </w:r>
      <w:r>
        <w:t xml:space="preserve"> må ikke ske på bekostning af det ansvar</w:t>
      </w:r>
      <w:r w:rsidR="00252B48">
        <w:t>,</w:t>
      </w:r>
      <w:r>
        <w:t xml:space="preserve"> som virksomheden/den finansielle institution og dens ledelse</w:t>
      </w:r>
      <w:r w:rsidR="0032720E">
        <w:t xml:space="preserve"> </w:t>
      </w:r>
      <w:r>
        <w:t>har.</w:t>
      </w:r>
    </w:p>
    <w:p w14:paraId="5C17A292" w14:textId="77777777" w:rsidR="00AD4E4A" w:rsidRPr="00AD4E4A" w:rsidRDefault="00AD4E4A" w:rsidP="00D37540">
      <w:pPr>
        <w:pStyle w:val="Listeafsnit"/>
        <w:jc w:val="both"/>
        <w:rPr>
          <w:b/>
          <w:bCs/>
          <w:u w:val="single"/>
        </w:rPr>
      </w:pPr>
    </w:p>
    <w:p w14:paraId="4F1D8493" w14:textId="0D7B4674" w:rsidR="00186D24" w:rsidRPr="00E252BE" w:rsidRDefault="00186D24" w:rsidP="00D37540">
      <w:pPr>
        <w:pStyle w:val="Listeafsnit"/>
        <w:numPr>
          <w:ilvl w:val="0"/>
          <w:numId w:val="1"/>
        </w:numPr>
        <w:jc w:val="both"/>
        <w:rPr>
          <w:b/>
          <w:bCs/>
          <w:u w:val="single"/>
        </w:rPr>
      </w:pPr>
      <w:r>
        <w:t>Virksomheder</w:t>
      </w:r>
      <w:r w:rsidR="0025475D">
        <w:t>,</w:t>
      </w:r>
      <w:r>
        <w:t xml:space="preserve"> inklusive finansielle institutioner</w:t>
      </w:r>
      <w:r w:rsidR="0025475D">
        <w:t>,</w:t>
      </w:r>
      <w:r>
        <w:t xml:space="preserve"> skal være forpligtet til at respektere menneskerettigheder og miljø – og herunder klima – i forbindelse med deres verdensomspændende aktiviteter</w:t>
      </w:r>
      <w:r w:rsidR="000F5BFF">
        <w:t xml:space="preserve"> -</w:t>
      </w:r>
      <w:r>
        <w:t xml:space="preserve"> både hos dem selv og i deres værdikæder</w:t>
      </w:r>
      <w:r w:rsidR="000F5BFF">
        <w:t xml:space="preserve"> -</w:t>
      </w:r>
      <w:r w:rsidR="0063493A">
        <w:t xml:space="preserve"> gennem udøvelse af nødvendig omhu/due diligence i</w:t>
      </w:r>
      <w:r>
        <w:t xml:space="preserve"> overensstemmelse med FNs retningslinjer for menneskerettigheder og erhverv og OECDs retningslinjer for multinationale selskaber. </w:t>
      </w:r>
      <w:r w:rsidR="0063493A">
        <w:t xml:space="preserve">Det </w:t>
      </w:r>
      <w:r w:rsidR="00B03552">
        <w:t>betyder</w:t>
      </w:r>
      <w:r w:rsidR="0063493A">
        <w:t xml:space="preserve">, at det </w:t>
      </w:r>
      <w:r w:rsidR="0063493A" w:rsidRPr="0063493A">
        <w:rPr>
          <w:u w:val="single"/>
        </w:rPr>
        <w:t>ikke</w:t>
      </w:r>
      <w:r w:rsidR="0063493A">
        <w:t xml:space="preserve"> er tilstrækkeligt at begrænse udøvelse af nødvendig omhu til 1 led af værdikæden</w:t>
      </w:r>
      <w:r w:rsidR="0025475D">
        <w:t>.</w:t>
      </w:r>
      <w:r w:rsidR="00836319">
        <w:t xml:space="preserve"> </w:t>
      </w:r>
      <w:r w:rsidR="00E252BE">
        <w:t>Det betyder også</w:t>
      </w:r>
      <w:r w:rsidR="000F5BFF">
        <w:t>,</w:t>
      </w:r>
      <w:r w:rsidR="00E252BE">
        <w:t xml:space="preserve"> at datterselskaber </w:t>
      </w:r>
      <w:r w:rsidR="00E252BE" w:rsidRPr="00E252BE">
        <w:rPr>
          <w:u w:val="single"/>
        </w:rPr>
        <w:t>ikke</w:t>
      </w:r>
      <w:r w:rsidR="00E252BE">
        <w:rPr>
          <w:u w:val="single"/>
        </w:rPr>
        <w:t xml:space="preserve"> </w:t>
      </w:r>
      <w:r w:rsidR="00E252BE">
        <w:t xml:space="preserve">må </w:t>
      </w:r>
      <w:r w:rsidR="0025475D">
        <w:t>an</w:t>
      </w:r>
      <w:r w:rsidR="00E252BE">
        <w:t xml:space="preserve">ses som del af virksomhedens leverandørkæde, men </w:t>
      </w:r>
      <w:r w:rsidR="00C83A06">
        <w:t xml:space="preserve">skal anses </w:t>
      </w:r>
      <w:r w:rsidR="00E252BE">
        <w:t>som del af virksomheden selv</w:t>
      </w:r>
      <w:r w:rsidR="0025475D">
        <w:t>.</w:t>
      </w:r>
    </w:p>
    <w:p w14:paraId="184592DD" w14:textId="77777777" w:rsidR="00836319" w:rsidRPr="00836319" w:rsidRDefault="00836319" w:rsidP="00D37540">
      <w:pPr>
        <w:pStyle w:val="Listeafsnit"/>
        <w:jc w:val="both"/>
        <w:rPr>
          <w:b/>
          <w:bCs/>
          <w:u w:val="single"/>
        </w:rPr>
      </w:pPr>
    </w:p>
    <w:p w14:paraId="32ECCD2E" w14:textId="5838E9DE" w:rsidR="00C83A06" w:rsidRPr="0063493A" w:rsidRDefault="00836319" w:rsidP="00D37540">
      <w:pPr>
        <w:pStyle w:val="Listeafsnit"/>
        <w:numPr>
          <w:ilvl w:val="0"/>
          <w:numId w:val="1"/>
        </w:numPr>
        <w:jc w:val="both"/>
        <w:rPr>
          <w:b/>
          <w:bCs/>
          <w:u w:val="single"/>
        </w:rPr>
      </w:pPr>
      <w:r>
        <w:t xml:space="preserve">EU-lovgivning bør omfatte </w:t>
      </w:r>
      <w:r w:rsidRPr="00474F0B">
        <w:rPr>
          <w:u w:val="single"/>
        </w:rPr>
        <w:t xml:space="preserve">alle </w:t>
      </w:r>
      <w:r>
        <w:t>virksomheder og finansielle institutioner/investorer, inklusive små og mellemstore virksomheder/</w:t>
      </w:r>
      <w:r w:rsidR="00474F0B">
        <w:t>finansielle institutioner</w:t>
      </w:r>
      <w:r w:rsidR="000856C9">
        <w:t xml:space="preserve"> -</w:t>
      </w:r>
      <w:r w:rsidR="00474F0B">
        <w:t xml:space="preserve"> i</w:t>
      </w:r>
      <w:r>
        <w:t xml:space="preserve"> overensstemmelse med FNs og OECDs retningslinjer. Retningslinjerne tager højde for</w:t>
      </w:r>
      <w:r w:rsidR="00474F0B">
        <w:t>,</w:t>
      </w:r>
      <w:r>
        <w:t xml:space="preserve"> at store og små virksomheder/investorer ikke har lige </w:t>
      </w:r>
      <w:r>
        <w:lastRenderedPageBreak/>
        <w:t>mange ressourcer og at due diligence</w:t>
      </w:r>
      <w:r w:rsidR="0025475D">
        <w:t xml:space="preserve"> </w:t>
      </w:r>
      <w:r>
        <w:t xml:space="preserve">indsatsen vil variere bl.a. afhængig af </w:t>
      </w:r>
      <w:r w:rsidR="0025475D">
        <w:t xml:space="preserve">virksomhedens </w:t>
      </w:r>
      <w:r>
        <w:t xml:space="preserve">størrelse. Men til sammen har små og mellemstore virksomheder </w:t>
      </w:r>
      <w:r w:rsidR="00474F0B">
        <w:t xml:space="preserve">i EU </w:t>
      </w:r>
      <w:r>
        <w:t>større negativ indvirkning på menneskerettigheder, miljø og klima</w:t>
      </w:r>
      <w:r w:rsidR="0025475D">
        <w:t>,</w:t>
      </w:r>
      <w:r>
        <w:t xml:space="preserve"> end store </w:t>
      </w:r>
      <w:r w:rsidR="00474F0B">
        <w:t>virksomheder og finansielle institutioner</w:t>
      </w:r>
      <w:r w:rsidR="0025475D">
        <w:t>.</w:t>
      </w:r>
      <w:r>
        <w:t xml:space="preserve"> </w:t>
      </w:r>
      <w:r w:rsidR="0025475D">
        <w:t>D</w:t>
      </w:r>
      <w:r>
        <w:t>erfor</w:t>
      </w:r>
      <w:r w:rsidR="00474F0B">
        <w:t xml:space="preserve"> er det vigtigt, at </w:t>
      </w:r>
      <w:r w:rsidR="0025475D">
        <w:t xml:space="preserve">også </w:t>
      </w:r>
      <w:r w:rsidR="00474F0B">
        <w:t>de inkluderes</w:t>
      </w:r>
      <w:r w:rsidR="000856C9">
        <w:t xml:space="preserve"> i EU-lovgivning på området</w:t>
      </w:r>
      <w:r>
        <w:t xml:space="preserve">. </w:t>
      </w:r>
      <w:r w:rsidR="00474F0B">
        <w:t xml:space="preserve">Ifølge EU-Kommissionen udgør små virksomheders omkostninger ved at udøve due diligence kun omkring 0,14 procent af deres indtægter og der er tale om </w:t>
      </w:r>
      <w:r w:rsidR="000856C9">
        <w:t xml:space="preserve">en </w:t>
      </w:r>
      <w:r w:rsidR="00474F0B">
        <w:t>kontinuerlig udvikling, hvor det ikke kræves</w:t>
      </w:r>
      <w:r w:rsidR="0025475D">
        <w:t>,</w:t>
      </w:r>
      <w:r w:rsidR="00474F0B">
        <w:t xml:space="preserve"> at små og mellemstore virksomheder skal have styr på alt på en gang. </w:t>
      </w:r>
      <w:r>
        <w:t xml:space="preserve">Det er </w:t>
      </w:r>
      <w:r w:rsidR="000856C9">
        <w:t>desuden</w:t>
      </w:r>
      <w:r>
        <w:t xml:space="preserve"> i små og mellemstore virksomheders og investorers egen interesse at sætte ind på dette område</w:t>
      </w:r>
      <w:r w:rsidR="00BC0BFB">
        <w:t>,</w:t>
      </w:r>
      <w:r>
        <w:t xml:space="preserve"> for at </w:t>
      </w:r>
      <w:r w:rsidR="000856C9">
        <w:t xml:space="preserve">tiltrække </w:t>
      </w:r>
      <w:r w:rsidR="00474F0B">
        <w:t>forbrugere</w:t>
      </w:r>
      <w:r w:rsidR="00C83A06">
        <w:t xml:space="preserve"> og kunder.</w:t>
      </w:r>
      <w:r w:rsidR="00C83A06">
        <w:rPr>
          <w:b/>
          <w:bCs/>
          <w:u w:val="single"/>
        </w:rPr>
        <w:br/>
      </w:r>
    </w:p>
    <w:p w14:paraId="1537C9A0" w14:textId="09E47E04" w:rsidR="00C83A06" w:rsidRPr="00C83A06" w:rsidRDefault="00346DA3" w:rsidP="005B3130">
      <w:pPr>
        <w:pStyle w:val="Listeafsnit"/>
        <w:numPr>
          <w:ilvl w:val="0"/>
          <w:numId w:val="1"/>
        </w:numPr>
        <w:jc w:val="both"/>
        <w:rPr>
          <w:rFonts w:ascii="Times New Roman" w:eastAsia="Times New Roman" w:hAnsi="Times New Roman" w:cs="Times New Roman"/>
          <w:sz w:val="24"/>
          <w:szCs w:val="24"/>
          <w:lang w:eastAsia="da-DK"/>
        </w:rPr>
      </w:pPr>
      <w:r w:rsidRPr="00346DA3">
        <w:t>Virksomheder in</w:t>
      </w:r>
      <w:r w:rsidR="00D87FFB">
        <w:t>k</w:t>
      </w:r>
      <w:r w:rsidRPr="00346DA3">
        <w:t>lusive finansielle instit</w:t>
      </w:r>
      <w:r>
        <w:t>ut</w:t>
      </w:r>
      <w:r w:rsidRPr="00346DA3">
        <w:t>ioner skal være forpligtet til at identificere</w:t>
      </w:r>
      <w:r w:rsidR="00D87FFB">
        <w:t xml:space="preserve"> og vurdere,</w:t>
      </w:r>
      <w:r w:rsidRPr="00346DA3">
        <w:t xml:space="preserve"> forebygge, </w:t>
      </w:r>
      <w:r w:rsidR="00D87FFB">
        <w:t xml:space="preserve">integrere, monitorere, </w:t>
      </w:r>
      <w:r w:rsidRPr="00346DA3">
        <w:t>udbedre</w:t>
      </w:r>
      <w:r w:rsidR="00D87FFB">
        <w:t>, ophøre med</w:t>
      </w:r>
      <w:r w:rsidRPr="00346DA3">
        <w:t xml:space="preserve"> og </w:t>
      </w:r>
      <w:r w:rsidR="002F0729">
        <w:t xml:space="preserve">offentligt </w:t>
      </w:r>
      <w:r w:rsidRPr="00346DA3">
        <w:t>redegøre for</w:t>
      </w:r>
      <w:r w:rsidR="00BC0BFB">
        <w:t>,</w:t>
      </w:r>
      <w:r w:rsidRPr="00346DA3">
        <w:t xml:space="preserve"> potentielle og aktuelle negative ind</w:t>
      </w:r>
      <w:r>
        <w:t>virkninger på menneskerettigheder og miljø</w:t>
      </w:r>
      <w:r w:rsidR="00BC0BFB">
        <w:t>,</w:t>
      </w:r>
      <w:r>
        <w:t xml:space="preserve"> gennem en kontinuerlig due diligence proces – i overensstemmelse med anerkendte internationale due diligence standarder. </w:t>
      </w:r>
      <w:r w:rsidR="002F0729">
        <w:t>Hvad angår den offentlige redegørelse er det vigtigt</w:t>
      </w:r>
      <w:r w:rsidR="00185380">
        <w:t>,</w:t>
      </w:r>
      <w:r w:rsidR="002F0729">
        <w:t xml:space="preserve"> at denne er detaljeret, konkret og meningsfuld - ikke kun for investorer, men også </w:t>
      </w:r>
      <w:r w:rsidR="00185380">
        <w:t xml:space="preserve">for </w:t>
      </w:r>
      <w:r w:rsidR="002F0729">
        <w:t xml:space="preserve">forbrugere, rettighedshavere, fagforeninger og NGOer, mv. </w:t>
      </w:r>
      <w:r w:rsidR="00BC0BFB">
        <w:br/>
      </w:r>
      <w:r w:rsidR="00185380">
        <w:t xml:space="preserve">Vi mener </w:t>
      </w:r>
      <w:r w:rsidR="00BC0BFB">
        <w:t>desuden,</w:t>
      </w:r>
      <w:r w:rsidR="002F0729">
        <w:t xml:space="preserve"> at det bør være lovpligtigt </w:t>
      </w:r>
      <w:r w:rsidR="00F001AA">
        <w:t xml:space="preserve">for virksomheder og </w:t>
      </w:r>
      <w:r w:rsidR="00185380">
        <w:t>finansielle institutioner</w:t>
      </w:r>
      <w:r w:rsidR="00F001AA">
        <w:t xml:space="preserve"> at være</w:t>
      </w:r>
      <w:r w:rsidR="002F0729">
        <w:t xml:space="preserve"> transparent</w:t>
      </w:r>
      <w:r w:rsidR="00F001AA">
        <w:t>e</w:t>
      </w:r>
      <w:r w:rsidR="002F0729">
        <w:t xml:space="preserve"> om </w:t>
      </w:r>
      <w:r w:rsidR="00C83A06">
        <w:t>enhederne</w:t>
      </w:r>
      <w:r w:rsidR="00A86D7E">
        <w:t xml:space="preserve"> og eksempler på konkrete negative indvirkninger og håndteringen af disse</w:t>
      </w:r>
      <w:r w:rsidR="00C83A06">
        <w:t xml:space="preserve"> i </w:t>
      </w:r>
      <w:r w:rsidR="00F001AA">
        <w:t>deres</w:t>
      </w:r>
      <w:r w:rsidR="002F0729">
        <w:t xml:space="preserve"> værdikæde</w:t>
      </w:r>
      <w:r w:rsidR="00F001AA">
        <w:t>r</w:t>
      </w:r>
      <w:r w:rsidR="002F0729">
        <w:t xml:space="preserve">, leverandører, mv. Ellers er det ikke muligt for myndigheder og ovennævnte </w:t>
      </w:r>
      <w:r w:rsidR="00BC0BFB">
        <w:t xml:space="preserve">interessenter </w:t>
      </w:r>
      <w:r w:rsidR="002F0729">
        <w:t>at føre ordentligt tilsyn med due diligence-indsatsen.</w:t>
      </w:r>
    </w:p>
    <w:p w14:paraId="7C859E08" w14:textId="77777777" w:rsidR="00635D8E" w:rsidRPr="005B3130" w:rsidRDefault="00635D8E" w:rsidP="00C83A06">
      <w:pPr>
        <w:pStyle w:val="Listeafsnit"/>
        <w:jc w:val="both"/>
        <w:rPr>
          <w:b/>
          <w:bCs/>
          <w:u w:val="single"/>
        </w:rPr>
      </w:pPr>
    </w:p>
    <w:p w14:paraId="2D145361" w14:textId="7D714A23" w:rsidR="004B317A" w:rsidRPr="00BC0BFB" w:rsidRDefault="004B317A" w:rsidP="00BC0BFB">
      <w:pPr>
        <w:pStyle w:val="Listeafsnit"/>
        <w:numPr>
          <w:ilvl w:val="0"/>
          <w:numId w:val="1"/>
        </w:numPr>
        <w:jc w:val="both"/>
        <w:rPr>
          <w:b/>
          <w:bCs/>
          <w:u w:val="single"/>
        </w:rPr>
      </w:pPr>
      <w:r w:rsidRPr="004B317A">
        <w:t xml:space="preserve">I forlængelse af ovennævnte anbefaling er det vigtigt at understrege, at lovgivning på dette </w:t>
      </w:r>
      <w:r>
        <w:t xml:space="preserve">område </w:t>
      </w:r>
      <w:r w:rsidR="00CC3AFE">
        <w:t xml:space="preserve">også </w:t>
      </w:r>
      <w:r>
        <w:t xml:space="preserve">kræver en omlægning af virksomheder forretningsmodeller til </w:t>
      </w:r>
      <w:r w:rsidR="00BC0BFB">
        <w:t xml:space="preserve">i langt højere grad </w:t>
      </w:r>
      <w:r>
        <w:t xml:space="preserve">at integrere bæredygtighed, etik og dialog med andre stakeholdere end aktionerer og kunder. </w:t>
      </w:r>
      <w:r w:rsidR="00BC0BFB">
        <w:br/>
      </w:r>
      <w:r w:rsidRPr="004B317A">
        <w:t xml:space="preserve">Det </w:t>
      </w:r>
      <w:r w:rsidR="00BC0BFB">
        <w:t xml:space="preserve">er nødvendigt med </w:t>
      </w:r>
      <w:r w:rsidRPr="004B317A">
        <w:t xml:space="preserve">åbenhed og dialog med de mennesker, </w:t>
      </w:r>
      <w:r w:rsidR="00BC0BFB">
        <w:t xml:space="preserve">som bliver eller kan blive </w:t>
      </w:r>
      <w:r>
        <w:t xml:space="preserve">påvirket negativt af virksomheders og investorers aktiviteter, arbejdere og lokalsamfund, miljø- og menneskerettighedsforkæmpere, NGOer, fagforeninger, forbrugere, mv. </w:t>
      </w:r>
    </w:p>
    <w:p w14:paraId="7FCF7A57" w14:textId="77777777" w:rsidR="004B317A" w:rsidRDefault="004B317A" w:rsidP="00D37540">
      <w:pPr>
        <w:pStyle w:val="Listeafsnit"/>
        <w:jc w:val="both"/>
      </w:pPr>
    </w:p>
    <w:p w14:paraId="27FDD481" w14:textId="481F777D" w:rsidR="00AC4F25" w:rsidRDefault="00B879F5" w:rsidP="00AC4F25">
      <w:pPr>
        <w:pStyle w:val="Listeafsnit"/>
      </w:pPr>
      <w:r w:rsidRPr="00B879F5">
        <w:t>Det er vigtigt</w:t>
      </w:r>
      <w:r w:rsidR="00CC3AFE">
        <w:t>,</w:t>
      </w:r>
      <w:r w:rsidRPr="00B879F5">
        <w:t xml:space="preserve"> at der </w:t>
      </w:r>
      <w:r w:rsidR="00BC0BFB">
        <w:t xml:space="preserve">i </w:t>
      </w:r>
      <w:r w:rsidR="00BC0BFB" w:rsidRPr="00B879F5">
        <w:t xml:space="preserve">EU-lovgivningen </w:t>
      </w:r>
      <w:r w:rsidRPr="00B879F5">
        <w:t xml:space="preserve">også </w:t>
      </w:r>
      <w:r w:rsidR="00A86D7E">
        <w:t>har</w:t>
      </w:r>
      <w:r w:rsidRPr="00B879F5">
        <w:t xml:space="preserve"> fokus på </w:t>
      </w:r>
      <w:r w:rsidRPr="00505324">
        <w:t>udbedring af negative indvirkninger</w:t>
      </w:r>
      <w:r>
        <w:t xml:space="preserve"> på menneskerettigheder, miljø og klima. </w:t>
      </w:r>
      <w:r w:rsidRPr="00CC3AFE">
        <w:t xml:space="preserve">Virksomheder og finansielle institutioner bør have fokus herpå. </w:t>
      </w:r>
      <w:r w:rsidRPr="00B879F5">
        <w:t>Vi henviser til vedlagte positionspapir fra de international</w:t>
      </w:r>
      <w:r w:rsidR="00CC3AFE">
        <w:t>e</w:t>
      </w:r>
      <w:r w:rsidRPr="00B879F5">
        <w:t xml:space="preserve"> NGOer m</w:t>
      </w:r>
      <w:r>
        <w:t xml:space="preserve">ht hvad vi finder vigtigt </w:t>
      </w:r>
      <w:r w:rsidR="00BC0BFB">
        <w:t>for</w:t>
      </w:r>
      <w:r>
        <w:t xml:space="preserve"> at </w:t>
      </w:r>
      <w:r w:rsidR="00BC0BFB">
        <w:t>opfylde</w:t>
      </w:r>
      <w:r>
        <w:t xml:space="preserve"> de internationalt anerkendte due diligence standarder på dette område</w:t>
      </w:r>
      <w:r w:rsidR="0073710E">
        <w:t>.</w:t>
      </w:r>
    </w:p>
    <w:p w14:paraId="3404AA6E" w14:textId="77777777" w:rsidR="00AC4F25" w:rsidRDefault="00AC4F25" w:rsidP="00AC4F25">
      <w:pPr>
        <w:pStyle w:val="Listeafsnit"/>
      </w:pPr>
    </w:p>
    <w:p w14:paraId="3D8D5E0B" w14:textId="1E2681CA" w:rsidR="000666D3" w:rsidRPr="00505324" w:rsidRDefault="00AC4F25" w:rsidP="005B3130">
      <w:pPr>
        <w:pStyle w:val="Listeafsnit"/>
      </w:pPr>
      <w:r w:rsidRPr="00AC4F25">
        <w:rPr>
          <w:rFonts w:ascii="Calibri" w:eastAsia="Times New Roman" w:hAnsi="Calibri" w:cs="Calibri"/>
          <w:color w:val="000000"/>
          <w:lang w:eastAsia="da-DK"/>
        </w:rPr>
        <w:t>Det er helt centralt at EU-lovgivningen inkluderer </w:t>
      </w:r>
      <w:r w:rsidRPr="00AC4F25">
        <w:rPr>
          <w:rFonts w:ascii="Calibri" w:eastAsia="Times New Roman" w:hAnsi="Calibri" w:cs="Calibri"/>
          <w:color w:val="000000"/>
          <w:u w:val="single"/>
          <w:lang w:eastAsia="da-DK"/>
        </w:rPr>
        <w:t>strafansvar ved især civile domstole.</w:t>
      </w:r>
      <w:r w:rsidRPr="00AC4F25">
        <w:rPr>
          <w:rFonts w:ascii="Calibri" w:eastAsia="Times New Roman" w:hAnsi="Calibri" w:cs="Calibri"/>
          <w:color w:val="000000"/>
          <w:lang w:eastAsia="da-DK"/>
        </w:rPr>
        <w:t xml:space="preserve"> Både når det handler om sager, </w:t>
      </w:r>
      <w:r w:rsidR="00A86D7E">
        <w:rPr>
          <w:rFonts w:ascii="Calibri" w:eastAsia="Times New Roman" w:hAnsi="Calibri" w:cs="Calibri"/>
          <w:color w:val="000000"/>
          <w:lang w:eastAsia="da-DK"/>
        </w:rPr>
        <w:t xml:space="preserve">som 1) </w:t>
      </w:r>
      <w:r w:rsidRPr="00AC4F25">
        <w:rPr>
          <w:rFonts w:ascii="Calibri" w:eastAsia="Times New Roman" w:hAnsi="Calibri" w:cs="Calibri"/>
          <w:color w:val="000000"/>
          <w:lang w:eastAsia="da-DK"/>
        </w:rPr>
        <w:t xml:space="preserve">virksomheden eller den finansielle institution selv - eller virksomheder/finansielle institutioner som virksomheden/den finansielle institution kontrollerer eller har mulighed for at kontrollere - har forårsaget eller bidraget til - og </w:t>
      </w:r>
      <w:r w:rsidR="00A86D7E">
        <w:rPr>
          <w:rFonts w:ascii="Calibri" w:eastAsia="Times New Roman" w:hAnsi="Calibri" w:cs="Calibri"/>
          <w:color w:val="000000"/>
          <w:lang w:eastAsia="da-DK"/>
        </w:rPr>
        <w:t xml:space="preserve">2) </w:t>
      </w:r>
      <w:r w:rsidRPr="00AC4F25">
        <w:rPr>
          <w:rFonts w:ascii="Calibri" w:eastAsia="Times New Roman" w:hAnsi="Calibri" w:cs="Calibri"/>
          <w:color w:val="000000"/>
          <w:lang w:eastAsia="da-DK"/>
        </w:rPr>
        <w:t xml:space="preserve">problemer i værdikæden, </w:t>
      </w:r>
      <w:r w:rsidR="00A86D7E">
        <w:rPr>
          <w:rFonts w:ascii="Calibri" w:eastAsia="Times New Roman" w:hAnsi="Calibri" w:cs="Calibri"/>
          <w:color w:val="000000"/>
          <w:lang w:eastAsia="da-DK"/>
        </w:rPr>
        <w:t xml:space="preserve">som </w:t>
      </w:r>
      <w:r w:rsidRPr="00AC4F25">
        <w:rPr>
          <w:rFonts w:ascii="Calibri" w:eastAsia="Times New Roman" w:hAnsi="Calibri" w:cs="Calibri"/>
          <w:color w:val="000000"/>
          <w:lang w:eastAsia="da-DK"/>
        </w:rPr>
        <w:t>virksomheden</w:t>
      </w:r>
      <w:r w:rsidR="00A86D7E">
        <w:rPr>
          <w:rFonts w:ascii="Calibri" w:eastAsia="Times New Roman" w:hAnsi="Calibri" w:cs="Calibri"/>
          <w:color w:val="000000"/>
          <w:lang w:eastAsia="da-DK"/>
        </w:rPr>
        <w:t>/</w:t>
      </w:r>
      <w:r w:rsidRPr="00AC4F25">
        <w:rPr>
          <w:rFonts w:ascii="Calibri" w:eastAsia="Times New Roman" w:hAnsi="Calibri" w:cs="Calibri"/>
          <w:color w:val="000000"/>
          <w:lang w:eastAsia="da-DK"/>
        </w:rPr>
        <w:t>den finansielle institution har bidraget til. Ifølge FNs tidligere repræsentant for menneskerettigheder og erhverv John Ruggie kan en virksomhed/finansiel institution gå fra kun at være direkte forbundet med en negativ indvirkning hos en leverandør for eksempel til direkte at bidrage til den, hvis virksomheden for eksempel kender til eller burde have kendt til problemet og forbliver passiv eller ikke gør nok ved problemet. </w:t>
      </w:r>
      <w:bookmarkStart w:id="1" w:name="_ftnref1"/>
      <w:r w:rsidRPr="00AC4F25">
        <w:rPr>
          <w:rFonts w:ascii="Calibri" w:eastAsia="Times New Roman" w:hAnsi="Calibri" w:cs="Calibri"/>
          <w:color w:val="000000"/>
          <w:lang w:eastAsia="da-DK"/>
        </w:rPr>
        <w:fldChar w:fldCharType="begin"/>
      </w:r>
      <w:r w:rsidRPr="00AC4F25">
        <w:rPr>
          <w:rFonts w:ascii="Calibri" w:eastAsia="Times New Roman" w:hAnsi="Calibri" w:cs="Calibri"/>
          <w:color w:val="000000"/>
          <w:lang w:eastAsia="da-DK"/>
        </w:rPr>
        <w:instrText xml:space="preserve"> HYPERLINK "applewebdata://41E42D6C-D1E0-49FA-94B0-7ADBEA30966D" \l "_ftn1" \o "" </w:instrText>
      </w:r>
      <w:r w:rsidRPr="00AC4F25">
        <w:rPr>
          <w:rFonts w:ascii="Calibri" w:eastAsia="Times New Roman" w:hAnsi="Calibri" w:cs="Calibri"/>
          <w:color w:val="000000"/>
          <w:lang w:eastAsia="da-DK"/>
        </w:rPr>
        <w:fldChar w:fldCharType="separate"/>
      </w:r>
      <w:r w:rsidRPr="00AC4F25">
        <w:rPr>
          <w:rFonts w:ascii="Calibri" w:eastAsia="Times New Roman" w:hAnsi="Calibri" w:cs="Calibri"/>
          <w:color w:val="0563C1"/>
          <w:u w:val="single"/>
          <w:vertAlign w:val="superscript"/>
          <w:lang w:eastAsia="da-DK"/>
        </w:rPr>
        <w:t>[1]</w:t>
      </w:r>
      <w:r w:rsidRPr="00AC4F25">
        <w:rPr>
          <w:rFonts w:ascii="Calibri" w:eastAsia="Times New Roman" w:hAnsi="Calibri" w:cs="Calibri"/>
          <w:color w:val="000000"/>
          <w:lang w:eastAsia="da-DK"/>
        </w:rPr>
        <w:fldChar w:fldCharType="end"/>
      </w:r>
      <w:bookmarkEnd w:id="1"/>
      <w:r w:rsidRPr="00AC4F25">
        <w:rPr>
          <w:rFonts w:ascii="Calibri" w:eastAsia="Times New Roman" w:hAnsi="Calibri" w:cs="Calibri"/>
          <w:color w:val="000000"/>
          <w:lang w:eastAsia="da-DK"/>
        </w:rPr>
        <w:t xml:space="preserve"> Der bør desuden være tale om objektivt ansvar i visse sager. Det kan for eksempel handle om oliekatastrofer på havet, eller dumping af kemisk affald nær en landsby. Det tidligere Rådet for Samfundsansvar, under ledelse af tidligere CEO for Novo Nordisk Mads Øvlisen, lagde vægt på - som del af det daværende råds anbefalinger til regeringen om et nyt mæglings- og klageorgan for ansvarlig virksomhedsadfærd - at den nuværende Mæglings- og klageinstitution for ansvarlig </w:t>
      </w:r>
      <w:r w:rsidRPr="00AC4F25">
        <w:rPr>
          <w:rFonts w:ascii="Calibri" w:eastAsia="Times New Roman" w:hAnsi="Calibri" w:cs="Calibri"/>
          <w:color w:val="000000"/>
          <w:lang w:eastAsia="da-DK"/>
        </w:rPr>
        <w:lastRenderedPageBreak/>
        <w:t>virksomhedsadfærd/NCP Danmark ikke er tilstrækkelig til at tage sig af alvorlige sager, men at disse bør adresses af domstolene. Den tidligere regering, under ledelse af Helle Thorning Schmidt, nedsatte et tværministerielt udvalg til at se på sagen, men arbejdet blev desværre nedlagt ved regeringsskiftet i 2015. Strafansvar ved domstolene kan udover at sikre oprejsning til ofrene også medvirke til, at virksomheder og finansielle institutioner gør mere for at leve op til deres ansvar i forhold til udøvelse af due diligence</w:t>
      </w:r>
      <w:r>
        <w:rPr>
          <w:rFonts w:ascii="Calibri" w:eastAsia="Times New Roman" w:hAnsi="Calibri" w:cs="Calibri"/>
          <w:color w:val="000000"/>
          <w:lang w:eastAsia="da-DK"/>
        </w:rPr>
        <w:t>.</w:t>
      </w:r>
    </w:p>
    <w:p w14:paraId="53BBD27C" w14:textId="77777777" w:rsidR="00505324" w:rsidRPr="00403DB9" w:rsidRDefault="00505324" w:rsidP="00D37540">
      <w:pPr>
        <w:pStyle w:val="Listeafsnit"/>
        <w:jc w:val="both"/>
        <w:rPr>
          <w:b/>
          <w:bCs/>
          <w:u w:val="single"/>
        </w:rPr>
      </w:pPr>
    </w:p>
    <w:p w14:paraId="159C9D53" w14:textId="44BE12E8" w:rsidR="000666D3" w:rsidRPr="00945A0C" w:rsidRDefault="00945A0C" w:rsidP="00D37540">
      <w:pPr>
        <w:pStyle w:val="Listeafsnit"/>
        <w:numPr>
          <w:ilvl w:val="0"/>
          <w:numId w:val="1"/>
        </w:numPr>
        <w:jc w:val="both"/>
        <w:rPr>
          <w:b/>
          <w:bCs/>
          <w:u w:val="single"/>
        </w:rPr>
      </w:pPr>
      <w:r w:rsidRPr="00945A0C">
        <w:t>De</w:t>
      </w:r>
      <w:r w:rsidR="0040784C">
        <w:t>r</w:t>
      </w:r>
      <w:r w:rsidRPr="00945A0C">
        <w:t xml:space="preserve"> skal sikres en </w:t>
      </w:r>
      <w:r>
        <w:t>ordentlig</w:t>
      </w:r>
      <w:r w:rsidRPr="00945A0C">
        <w:t xml:space="preserve"> behandling af klager ved domstolene. Det vil sige, at det skal være muligt at vælge lovgivninge</w:t>
      </w:r>
      <w:r>
        <w:t>n</w:t>
      </w:r>
      <w:r w:rsidRPr="00945A0C">
        <w:t xml:space="preserve"> </w:t>
      </w:r>
      <w:r>
        <w:t>i</w:t>
      </w:r>
      <w:r w:rsidRPr="00945A0C">
        <w:t xml:space="preserve"> det land</w:t>
      </w:r>
      <w:r w:rsidR="00BC0BFB">
        <w:t>,</w:t>
      </w:r>
      <w:r w:rsidRPr="00945A0C">
        <w:t xml:space="preserve"> hvor skaden er sket</w:t>
      </w:r>
      <w:r w:rsidR="00BC0BFB">
        <w:t>,</w:t>
      </w:r>
      <w:r w:rsidRPr="00945A0C">
        <w:t xml:space="preserve"> eller det land</w:t>
      </w:r>
      <w:r>
        <w:t>, hvor virksomheden/den finansielle institution</w:t>
      </w:r>
      <w:r w:rsidR="0040784C">
        <w:t xml:space="preserve"> har hovedkvarter</w:t>
      </w:r>
      <w:r w:rsidR="003D5A64">
        <w:t>,</w:t>
      </w:r>
      <w:r w:rsidR="0040784C">
        <w:t xml:space="preserve"> så</w:t>
      </w:r>
      <w:r w:rsidR="00BC0BFB">
        <w:t>ledes at</w:t>
      </w:r>
      <w:r w:rsidR="0040784C">
        <w:t xml:space="preserve"> det sikres</w:t>
      </w:r>
      <w:r w:rsidR="003D5A64">
        <w:t>,</w:t>
      </w:r>
      <w:r w:rsidR="0040784C">
        <w:t xml:space="preserve"> at der ikke bliver </w:t>
      </w:r>
      <w:r>
        <w:t>diskriminere</w:t>
      </w:r>
      <w:r w:rsidR="0040784C">
        <w:t>t</w:t>
      </w:r>
      <w:r>
        <w:t xml:space="preserve"> mod klager. </w:t>
      </w:r>
      <w:r w:rsidR="00BC0BFB">
        <w:t xml:space="preserve">Som svar på spørgsmål 19B </w:t>
      </w:r>
      <w:r w:rsidR="00BC0BFB" w:rsidRPr="00945A0C">
        <w:t xml:space="preserve">i EU-Kommissionens spørgeskema </w:t>
      </w:r>
      <w:r w:rsidR="00BC0BFB">
        <w:t xml:space="preserve">har vi </w:t>
      </w:r>
      <w:r w:rsidRPr="00945A0C">
        <w:t>har uddybet dette punkt</w:t>
      </w:r>
      <w:r w:rsidR="00BC0BFB">
        <w:t>,</w:t>
      </w:r>
      <w:r w:rsidRPr="00945A0C">
        <w:t xml:space="preserve"> med eksempler</w:t>
      </w:r>
      <w:r>
        <w:t xml:space="preserve"> på de problemer, som klager</w:t>
      </w:r>
      <w:r w:rsidR="00BC0BFB">
        <w:t>e</w:t>
      </w:r>
      <w:r>
        <w:t xml:space="preserve"> </w:t>
      </w:r>
      <w:r w:rsidR="00BC0BFB">
        <w:t>s</w:t>
      </w:r>
      <w:r w:rsidR="00CE6C9C">
        <w:t xml:space="preserve">tår overfor, når </w:t>
      </w:r>
      <w:r w:rsidR="00BC0BFB">
        <w:t xml:space="preserve">de </w:t>
      </w:r>
      <w:r w:rsidR="00CE6C9C">
        <w:t>fors</w:t>
      </w:r>
      <w:r w:rsidR="003D5A64">
        <w:t>ø</w:t>
      </w:r>
      <w:r w:rsidR="00CE6C9C">
        <w:t>ger at anlægge sag mod virksomheder</w:t>
      </w:r>
      <w:r w:rsidRPr="00945A0C">
        <w:t xml:space="preserve">. </w:t>
      </w:r>
      <w:r w:rsidR="00403DB9" w:rsidRPr="00945A0C">
        <w:t xml:space="preserve"> </w:t>
      </w:r>
    </w:p>
    <w:p w14:paraId="5B1668FC" w14:textId="77777777" w:rsidR="00945A0C" w:rsidRPr="00945A0C" w:rsidRDefault="00945A0C" w:rsidP="00D37540">
      <w:pPr>
        <w:pStyle w:val="Listeafsnit"/>
        <w:jc w:val="both"/>
        <w:rPr>
          <w:b/>
          <w:bCs/>
          <w:u w:val="single"/>
        </w:rPr>
      </w:pPr>
    </w:p>
    <w:p w14:paraId="551805A0" w14:textId="4691A7DB" w:rsidR="000666D3" w:rsidRPr="006F3494" w:rsidRDefault="007D25B6" w:rsidP="00D37540">
      <w:pPr>
        <w:pStyle w:val="Listeafsnit"/>
        <w:numPr>
          <w:ilvl w:val="0"/>
          <w:numId w:val="1"/>
        </w:numPr>
        <w:jc w:val="both"/>
        <w:rPr>
          <w:b/>
          <w:bCs/>
          <w:u w:val="single"/>
        </w:rPr>
      </w:pPr>
      <w:r w:rsidRPr="007D25B6">
        <w:t>EU</w:t>
      </w:r>
      <w:r w:rsidR="00945A0C">
        <w:t xml:space="preserve"> og EU's </w:t>
      </w:r>
      <w:r w:rsidRPr="007D25B6">
        <w:t>medlems</w:t>
      </w:r>
      <w:r w:rsidR="00945A0C">
        <w:t>lande</w:t>
      </w:r>
      <w:r w:rsidRPr="007D25B6">
        <w:t xml:space="preserve"> skal sikre ordentlig implementering, monitorering og håndhævelse af de nævnte anbefalinger/krav og sikre ordentlig adg</w:t>
      </w:r>
      <w:r>
        <w:t>ang til effektive retsmidler</w:t>
      </w:r>
      <w:r w:rsidR="00BC0BFB">
        <w:t>,</w:t>
      </w:r>
      <w:r>
        <w:t xml:space="preserve"> ved </w:t>
      </w:r>
      <w:r w:rsidR="006F3494">
        <w:t xml:space="preserve">især civile </w:t>
      </w:r>
      <w:r>
        <w:t xml:space="preserve">domstole. </w:t>
      </w:r>
      <w:r w:rsidR="00253D41">
        <w:t>Det er desuden vigtigt, at der uddeles bøder ved kontinuerlig manglende efterlevelse af lov</w:t>
      </w:r>
      <w:r w:rsidR="008A4703">
        <w:t>en</w:t>
      </w:r>
      <w:r w:rsidR="00253D41">
        <w:t>. Bøder</w:t>
      </w:r>
      <w:r w:rsidR="00ED407D">
        <w:t>ne</w:t>
      </w:r>
      <w:r w:rsidR="00253D41">
        <w:t xml:space="preserve"> skal være tilstrækkeligt </w:t>
      </w:r>
      <w:r w:rsidR="00ED407D">
        <w:t>høje</w:t>
      </w:r>
      <w:r w:rsidR="00253D41">
        <w:t xml:space="preserve"> til at sikre efterlevelse af lov</w:t>
      </w:r>
      <w:r w:rsidR="008A4703">
        <w:t>en</w:t>
      </w:r>
      <w:r w:rsidR="00253D41">
        <w:t>.</w:t>
      </w:r>
    </w:p>
    <w:p w14:paraId="2042EB4B" w14:textId="77777777" w:rsidR="000666D3" w:rsidRPr="006F3494" w:rsidRDefault="000666D3" w:rsidP="00D37540">
      <w:pPr>
        <w:pStyle w:val="Listeafsnit"/>
        <w:jc w:val="both"/>
        <w:rPr>
          <w:b/>
          <w:bCs/>
          <w:u w:val="single"/>
        </w:rPr>
      </w:pPr>
    </w:p>
    <w:p w14:paraId="3D6A5D38" w14:textId="5CE165C2" w:rsidR="002F0729" w:rsidRPr="00FF6B48" w:rsidRDefault="009B3ADB" w:rsidP="00D37540">
      <w:pPr>
        <w:pStyle w:val="Listeafsnit"/>
        <w:numPr>
          <w:ilvl w:val="0"/>
          <w:numId w:val="1"/>
        </w:numPr>
        <w:jc w:val="both"/>
        <w:rPr>
          <w:b/>
          <w:bCs/>
          <w:u w:val="single"/>
        </w:rPr>
      </w:pPr>
      <w:r w:rsidRPr="009B3ADB">
        <w:t>EU-lovgivning</w:t>
      </w:r>
      <w:r>
        <w:t>en</w:t>
      </w:r>
      <w:r w:rsidRPr="009B3ADB">
        <w:t xml:space="preserve"> skal </w:t>
      </w:r>
      <w:r>
        <w:t xml:space="preserve">udgøre en generel forpligtelse for </w:t>
      </w:r>
      <w:r w:rsidR="00E31CA4">
        <w:t xml:space="preserve">alle </w:t>
      </w:r>
      <w:r>
        <w:t xml:space="preserve">virksomheder </w:t>
      </w:r>
      <w:r w:rsidR="00E31CA4">
        <w:t>og finansielle institutioner</w:t>
      </w:r>
      <w:r w:rsidR="00ED407D">
        <w:t>,</w:t>
      </w:r>
      <w:r w:rsidR="00E31CA4">
        <w:t xml:space="preserve"> </w:t>
      </w:r>
      <w:r>
        <w:t>på tværs af sektorer</w:t>
      </w:r>
      <w:r w:rsidR="00ED407D">
        <w:t>,</w:t>
      </w:r>
      <w:r>
        <w:t xml:space="preserve"> til at udvise nødvendig omhu i forhold til deres </w:t>
      </w:r>
      <w:r w:rsidR="00ED407D">
        <w:t xml:space="preserve">egne </w:t>
      </w:r>
      <w:r>
        <w:t>og deres forretningsforbindelsers aktiviteter. En sådan lov bør</w:t>
      </w:r>
      <w:r w:rsidR="00ED407D">
        <w:t>,</w:t>
      </w:r>
      <w:r>
        <w:t xml:space="preserve"> i overensstemmelse med OECD’s tilgang til ansvarlig virksomhedsadfærd</w:t>
      </w:r>
      <w:r w:rsidR="00ED407D">
        <w:t>,</w:t>
      </w:r>
      <w:r>
        <w:t xml:space="preserve"> anses som grundlag for yderligere lovgivning for virksomheder i særlig</w:t>
      </w:r>
      <w:r w:rsidR="00ED407D">
        <w:t>t</w:t>
      </w:r>
      <w:r>
        <w:t xml:space="preserve"> risikable sektorer og i forhold til specifikke områder af særlig høj risiko, som man allerede er ved at udvikle på EU-plan. En lov om en generel forpligtelse må aldrig erstatte mere specifik lovgivning, der hvor den er nødvendig. </w:t>
      </w:r>
    </w:p>
    <w:p w14:paraId="0CD9BE55" w14:textId="77777777" w:rsidR="00E31CA4" w:rsidRPr="00FF6B48" w:rsidRDefault="00E31CA4" w:rsidP="00D37540">
      <w:pPr>
        <w:pStyle w:val="Listeafsnit"/>
        <w:jc w:val="both"/>
        <w:rPr>
          <w:b/>
          <w:bCs/>
          <w:u w:val="single"/>
        </w:rPr>
      </w:pPr>
    </w:p>
    <w:p w14:paraId="560AC901" w14:textId="0F6603C2" w:rsidR="00D92296" w:rsidRPr="00CF7DB0" w:rsidRDefault="00E31CA4" w:rsidP="00D37540">
      <w:pPr>
        <w:pStyle w:val="Listeafsnit"/>
        <w:numPr>
          <w:ilvl w:val="0"/>
          <w:numId w:val="1"/>
        </w:numPr>
        <w:jc w:val="both"/>
        <w:rPr>
          <w:b/>
          <w:bCs/>
          <w:u w:val="single"/>
        </w:rPr>
      </w:pPr>
      <w:r>
        <w:t xml:space="preserve">EU-lovgivning skal dække alle virksomheder i EU, også virksomheder der har hovedkvarter udenfor EU, men som opererer i EU enten fysisk via datterselskaber eller via salg af produkter og eller/serviceydelser til EU. </w:t>
      </w:r>
    </w:p>
    <w:p w14:paraId="33A2E1FE" w14:textId="77777777" w:rsidR="00ED407D" w:rsidRDefault="00ED407D" w:rsidP="00D37540">
      <w:pPr>
        <w:jc w:val="both"/>
      </w:pPr>
    </w:p>
    <w:p w14:paraId="54C24AE8" w14:textId="4CCB78E3" w:rsidR="00E31CA4" w:rsidRPr="003432D2" w:rsidRDefault="00D92296" w:rsidP="00D37540">
      <w:pPr>
        <w:jc w:val="both"/>
        <w:rPr>
          <w:b/>
          <w:bCs/>
          <w:u w:val="single"/>
        </w:rPr>
      </w:pPr>
      <w:r w:rsidRPr="00D92296">
        <w:t>Vi henviser</w:t>
      </w:r>
      <w:r>
        <w:t xml:space="preserve"> i øvrigt til </w:t>
      </w:r>
      <w:r w:rsidR="00ED407D">
        <w:t xml:space="preserve">vores svar ide det </w:t>
      </w:r>
      <w:r>
        <w:t>vedlagte spørgeskema fra EU-kommissionen</w:t>
      </w:r>
      <w:r w:rsidR="00ED407D">
        <w:t>, som er et supplement til h</w:t>
      </w:r>
      <w:r w:rsidR="003432D2">
        <w:t>øringssvaret.</w:t>
      </w:r>
    </w:p>
    <w:p w14:paraId="11761939" w14:textId="48A1BC50" w:rsidR="00641D99" w:rsidRPr="00641D99" w:rsidRDefault="00641D99" w:rsidP="00D37540">
      <w:pPr>
        <w:jc w:val="both"/>
        <w:rPr>
          <w:b/>
          <w:bCs/>
          <w:u w:val="single"/>
        </w:rPr>
      </w:pPr>
      <w:r w:rsidRPr="00641D99">
        <w:rPr>
          <w:b/>
          <w:bCs/>
          <w:u w:val="single"/>
        </w:rPr>
        <w:t xml:space="preserve">Kontaktoplysninger: </w:t>
      </w:r>
    </w:p>
    <w:p w14:paraId="162C56E4" w14:textId="33D1A758" w:rsidR="00641D99" w:rsidRPr="00636BC4" w:rsidRDefault="00641D99" w:rsidP="00D37540">
      <w:pPr>
        <w:jc w:val="both"/>
        <w:rPr>
          <w:b/>
          <w:bCs/>
          <w:u w:val="single"/>
        </w:rPr>
      </w:pPr>
      <w:r>
        <w:t>Helene Gjerding, hgjerding@92grp.dk</w:t>
      </w:r>
    </w:p>
    <w:p w14:paraId="6ACE1C16" w14:textId="77777777" w:rsidR="00843545" w:rsidRPr="00CC0D74" w:rsidRDefault="00843545" w:rsidP="00D37540">
      <w:pPr>
        <w:jc w:val="both"/>
      </w:pPr>
    </w:p>
    <w:sectPr w:rsidR="00843545" w:rsidRPr="00CC0D74">
      <w:headerReference w:type="default" r:id="rId7"/>
      <w:footerReference w:type="even" r:id="rId8"/>
      <w:footerReference w:type="default" r:id="rId9"/>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0CC539" w14:textId="77777777" w:rsidR="00714D49" w:rsidRDefault="00714D49" w:rsidP="00D37540">
      <w:pPr>
        <w:spacing w:after="0" w:line="240" w:lineRule="auto"/>
      </w:pPr>
      <w:r>
        <w:separator/>
      </w:r>
    </w:p>
  </w:endnote>
  <w:endnote w:type="continuationSeparator" w:id="0">
    <w:p w14:paraId="18ABFA31" w14:textId="77777777" w:rsidR="00714D49" w:rsidRDefault="00714D49" w:rsidP="00D375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
      </w:rPr>
      <w:id w:val="-1781249813"/>
      <w:docPartObj>
        <w:docPartGallery w:val="Page Numbers (Bottom of Page)"/>
        <w:docPartUnique/>
      </w:docPartObj>
    </w:sdtPr>
    <w:sdtContent>
      <w:p w14:paraId="54E3DEB9" w14:textId="0145405B" w:rsidR="005B3130" w:rsidRDefault="005B3130" w:rsidP="00E97EAC">
        <w:pPr>
          <w:pStyle w:val="Sidefod"/>
          <w:framePr w:wrap="none" w:vAnchor="text" w:hAnchor="margin" w:xAlign="center" w:y="1"/>
          <w:rPr>
            <w:rStyle w:val="Sidetal"/>
          </w:rPr>
        </w:pPr>
        <w:r>
          <w:rPr>
            <w:rStyle w:val="Sidetal"/>
          </w:rPr>
          <w:fldChar w:fldCharType="begin"/>
        </w:r>
        <w:r>
          <w:rPr>
            <w:rStyle w:val="Sidetal"/>
          </w:rPr>
          <w:instrText xml:space="preserve"> PAGE </w:instrText>
        </w:r>
        <w:r>
          <w:rPr>
            <w:rStyle w:val="Sidetal"/>
          </w:rPr>
          <w:fldChar w:fldCharType="end"/>
        </w:r>
      </w:p>
    </w:sdtContent>
  </w:sdt>
  <w:p w14:paraId="5D9C6BE3" w14:textId="77777777" w:rsidR="005B3130" w:rsidRDefault="005B3130">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
      </w:rPr>
      <w:id w:val="642089685"/>
      <w:docPartObj>
        <w:docPartGallery w:val="Page Numbers (Bottom of Page)"/>
        <w:docPartUnique/>
      </w:docPartObj>
    </w:sdtPr>
    <w:sdtContent>
      <w:p w14:paraId="5F4EE58F" w14:textId="60FA2E19" w:rsidR="005B3130" w:rsidRDefault="005B3130" w:rsidP="00E97EAC">
        <w:pPr>
          <w:pStyle w:val="Sidefod"/>
          <w:framePr w:wrap="none" w:vAnchor="text" w:hAnchor="margin" w:xAlign="center" w:y="1"/>
          <w:rPr>
            <w:rStyle w:val="Sidetal"/>
          </w:rPr>
        </w:pPr>
        <w:r>
          <w:rPr>
            <w:rStyle w:val="Sidetal"/>
          </w:rPr>
          <w:fldChar w:fldCharType="begin"/>
        </w:r>
        <w:r>
          <w:rPr>
            <w:rStyle w:val="Sidetal"/>
          </w:rPr>
          <w:instrText xml:space="preserve"> PAGE </w:instrText>
        </w:r>
        <w:r>
          <w:rPr>
            <w:rStyle w:val="Sidetal"/>
          </w:rPr>
          <w:fldChar w:fldCharType="separate"/>
        </w:r>
        <w:r>
          <w:rPr>
            <w:rStyle w:val="Sidetal"/>
            <w:noProof/>
          </w:rPr>
          <w:t>1</w:t>
        </w:r>
        <w:r>
          <w:rPr>
            <w:rStyle w:val="Sidetal"/>
          </w:rPr>
          <w:fldChar w:fldCharType="end"/>
        </w:r>
      </w:p>
    </w:sdtContent>
  </w:sdt>
  <w:p w14:paraId="5CAC769A" w14:textId="77777777" w:rsidR="005B3130" w:rsidRDefault="005B313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87DAF1" w14:textId="77777777" w:rsidR="00714D49" w:rsidRDefault="00714D49" w:rsidP="00D37540">
      <w:pPr>
        <w:spacing w:after="0" w:line="240" w:lineRule="auto"/>
      </w:pPr>
      <w:r>
        <w:separator/>
      </w:r>
    </w:p>
  </w:footnote>
  <w:footnote w:type="continuationSeparator" w:id="0">
    <w:p w14:paraId="5A37B503" w14:textId="77777777" w:rsidR="00714D49" w:rsidRDefault="00714D49" w:rsidP="00D375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FAFF8" w14:textId="1704C3E7" w:rsidR="00D37540" w:rsidRDefault="00D37540">
    <w:pPr>
      <w:pStyle w:val="Sidehoved"/>
    </w:pPr>
    <w:r w:rsidRPr="00D74D13">
      <w:rPr>
        <w:b/>
        <w:bCs/>
        <w:noProof/>
      </w:rPr>
      <w:drawing>
        <wp:anchor distT="0" distB="0" distL="114300" distR="114300" simplePos="0" relativeHeight="251659264" behindDoc="0" locked="0" layoutInCell="1" allowOverlap="1" wp14:anchorId="2CDC36C8" wp14:editId="72AFB8D6">
          <wp:simplePos x="0" y="0"/>
          <wp:positionH relativeFrom="margin">
            <wp:posOffset>4847771</wp:posOffset>
          </wp:positionH>
          <wp:positionV relativeFrom="margin">
            <wp:posOffset>-885100</wp:posOffset>
          </wp:positionV>
          <wp:extent cx="1741805" cy="709930"/>
          <wp:effectExtent l="0" t="0" r="0" b="127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41805" cy="70993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B31FFC"/>
    <w:multiLevelType w:val="hybridMultilevel"/>
    <w:tmpl w:val="E542B7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ED9"/>
    <w:rsid w:val="000666D3"/>
    <w:rsid w:val="000856C9"/>
    <w:rsid w:val="000F5BFF"/>
    <w:rsid w:val="00185380"/>
    <w:rsid w:val="00186D24"/>
    <w:rsid w:val="00252B48"/>
    <w:rsid w:val="00253D41"/>
    <w:rsid w:val="0025475D"/>
    <w:rsid w:val="002762A9"/>
    <w:rsid w:val="002C21A6"/>
    <w:rsid w:val="002C54B7"/>
    <w:rsid w:val="002F0729"/>
    <w:rsid w:val="002F3395"/>
    <w:rsid w:val="0032720E"/>
    <w:rsid w:val="003432D2"/>
    <w:rsid w:val="00346DA3"/>
    <w:rsid w:val="003A1A1D"/>
    <w:rsid w:val="003D5A64"/>
    <w:rsid w:val="00403DB9"/>
    <w:rsid w:val="0040784C"/>
    <w:rsid w:val="00422410"/>
    <w:rsid w:val="00474F0B"/>
    <w:rsid w:val="00480B7D"/>
    <w:rsid w:val="004A2E4B"/>
    <w:rsid w:val="004A325A"/>
    <w:rsid w:val="004B317A"/>
    <w:rsid w:val="00505324"/>
    <w:rsid w:val="005B3130"/>
    <w:rsid w:val="00614229"/>
    <w:rsid w:val="0063493A"/>
    <w:rsid w:val="00635D8E"/>
    <w:rsid w:val="00636BC4"/>
    <w:rsid w:val="00641D99"/>
    <w:rsid w:val="00651DAA"/>
    <w:rsid w:val="006A0CAE"/>
    <w:rsid w:val="006B3C02"/>
    <w:rsid w:val="006F3494"/>
    <w:rsid w:val="006F6292"/>
    <w:rsid w:val="00714D49"/>
    <w:rsid w:val="0073710E"/>
    <w:rsid w:val="007D25B6"/>
    <w:rsid w:val="00825DBD"/>
    <w:rsid w:val="00836319"/>
    <w:rsid w:val="00843545"/>
    <w:rsid w:val="00847D81"/>
    <w:rsid w:val="008A4703"/>
    <w:rsid w:val="008B4165"/>
    <w:rsid w:val="00945A0C"/>
    <w:rsid w:val="009B3ADB"/>
    <w:rsid w:val="00A01AA0"/>
    <w:rsid w:val="00A86D7E"/>
    <w:rsid w:val="00AC4F25"/>
    <w:rsid w:val="00AD4E4A"/>
    <w:rsid w:val="00B03552"/>
    <w:rsid w:val="00B633D9"/>
    <w:rsid w:val="00B879F5"/>
    <w:rsid w:val="00BC0BFB"/>
    <w:rsid w:val="00BC6D22"/>
    <w:rsid w:val="00C83A06"/>
    <w:rsid w:val="00CA30AE"/>
    <w:rsid w:val="00CC0D74"/>
    <w:rsid w:val="00CC3AFE"/>
    <w:rsid w:val="00CC79F2"/>
    <w:rsid w:val="00CE6C9C"/>
    <w:rsid w:val="00CF7DB0"/>
    <w:rsid w:val="00D37540"/>
    <w:rsid w:val="00D87FFB"/>
    <w:rsid w:val="00D92296"/>
    <w:rsid w:val="00E252BE"/>
    <w:rsid w:val="00E31CA4"/>
    <w:rsid w:val="00E34ED9"/>
    <w:rsid w:val="00E6738B"/>
    <w:rsid w:val="00ED407D"/>
    <w:rsid w:val="00ED7CAB"/>
    <w:rsid w:val="00F001AA"/>
    <w:rsid w:val="00F50165"/>
    <w:rsid w:val="00FF6B4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E07B6"/>
  <w15:chartTrackingRefBased/>
  <w15:docId w15:val="{F1E3F887-9F5C-4E43-93F8-33E454F98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A01AA0"/>
    <w:pPr>
      <w:ind w:left="720"/>
      <w:contextualSpacing/>
    </w:pPr>
  </w:style>
  <w:style w:type="paragraph" w:styleId="Sidehoved">
    <w:name w:val="header"/>
    <w:basedOn w:val="Normal"/>
    <w:link w:val="SidehovedTegn"/>
    <w:uiPriority w:val="99"/>
    <w:unhideWhenUsed/>
    <w:rsid w:val="00D3754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D37540"/>
  </w:style>
  <w:style w:type="paragraph" w:styleId="Sidefod">
    <w:name w:val="footer"/>
    <w:basedOn w:val="Normal"/>
    <w:link w:val="SidefodTegn"/>
    <w:uiPriority w:val="99"/>
    <w:unhideWhenUsed/>
    <w:rsid w:val="00D3754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D37540"/>
  </w:style>
  <w:style w:type="paragraph" w:styleId="Markeringsbobletekst">
    <w:name w:val="Balloon Text"/>
    <w:basedOn w:val="Normal"/>
    <w:link w:val="MarkeringsbobletekstTegn"/>
    <w:uiPriority w:val="99"/>
    <w:semiHidden/>
    <w:unhideWhenUsed/>
    <w:rsid w:val="00D37540"/>
    <w:pPr>
      <w:spacing w:after="0" w:line="240" w:lineRule="auto"/>
    </w:pPr>
    <w:rPr>
      <w:rFonts w:ascii="Times New Roman" w:hAnsi="Times New Roman" w:cs="Times New Roman"/>
      <w:sz w:val="18"/>
      <w:szCs w:val="18"/>
    </w:rPr>
  </w:style>
  <w:style w:type="character" w:customStyle="1" w:styleId="MarkeringsbobletekstTegn">
    <w:name w:val="Markeringsbobletekst Tegn"/>
    <w:basedOn w:val="Standardskrifttypeiafsnit"/>
    <w:link w:val="Markeringsbobletekst"/>
    <w:uiPriority w:val="99"/>
    <w:semiHidden/>
    <w:rsid w:val="00D37540"/>
    <w:rPr>
      <w:rFonts w:ascii="Times New Roman" w:hAnsi="Times New Roman" w:cs="Times New Roman"/>
      <w:sz w:val="18"/>
      <w:szCs w:val="18"/>
    </w:rPr>
  </w:style>
  <w:style w:type="character" w:customStyle="1" w:styleId="apple-converted-space">
    <w:name w:val="apple-converted-space"/>
    <w:basedOn w:val="Standardskrifttypeiafsnit"/>
    <w:rsid w:val="00C83A06"/>
  </w:style>
  <w:style w:type="character" w:styleId="Fodnotehenvisning">
    <w:name w:val="footnote reference"/>
    <w:basedOn w:val="Standardskrifttypeiafsnit"/>
    <w:uiPriority w:val="99"/>
    <w:semiHidden/>
    <w:unhideWhenUsed/>
    <w:rsid w:val="00BC6D22"/>
  </w:style>
  <w:style w:type="character" w:styleId="Sidetal">
    <w:name w:val="page number"/>
    <w:basedOn w:val="Standardskrifttypeiafsnit"/>
    <w:uiPriority w:val="99"/>
    <w:semiHidden/>
    <w:unhideWhenUsed/>
    <w:rsid w:val="005B31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1225236">
      <w:bodyDiv w:val="1"/>
      <w:marLeft w:val="0"/>
      <w:marRight w:val="0"/>
      <w:marTop w:val="0"/>
      <w:marBottom w:val="0"/>
      <w:divBdr>
        <w:top w:val="none" w:sz="0" w:space="0" w:color="auto"/>
        <w:left w:val="none" w:sz="0" w:space="0" w:color="auto"/>
        <w:bottom w:val="none" w:sz="0" w:space="0" w:color="auto"/>
        <w:right w:val="none" w:sz="0" w:space="0" w:color="auto"/>
      </w:divBdr>
    </w:div>
    <w:div w:id="1618415377">
      <w:bodyDiv w:val="1"/>
      <w:marLeft w:val="0"/>
      <w:marRight w:val="0"/>
      <w:marTop w:val="0"/>
      <w:marBottom w:val="0"/>
      <w:divBdr>
        <w:top w:val="none" w:sz="0" w:space="0" w:color="auto"/>
        <w:left w:val="none" w:sz="0" w:space="0" w:color="auto"/>
        <w:bottom w:val="none" w:sz="0" w:space="0" w:color="auto"/>
        <w:right w:val="none" w:sz="0" w:space="0" w:color="auto"/>
      </w:divBdr>
    </w:div>
    <w:div w:id="1649748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1300</Words>
  <Characters>7937</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Sanne Borges</dc:creator>
  <cp:keywords/>
  <dc:description/>
  <cp:lastModifiedBy>Helene Gjerding</cp:lastModifiedBy>
  <cp:revision>3</cp:revision>
  <dcterms:created xsi:type="dcterms:W3CDTF">2020-12-04T12:00:00Z</dcterms:created>
  <dcterms:modified xsi:type="dcterms:W3CDTF">2020-12-04T12:03:00Z</dcterms:modified>
</cp:coreProperties>
</file>